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381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21. Корпоративные, банкротные и уголовные риски</w:t>
            </w:r>
          </w:p>
        </w:tc>
      </w:tr>
    </w:tbl>
    <w:p>
      <w:pPr>
        <w:pStyle w:val="Title"/>
        <w:jc w:val="center"/>
      </w:pPr>
      <w:r>
        <w:t>ЗАКЛЮЧЕНИЕ О ЗАКОННОСТИ ОТЧУЖДЕНИЯ АКТИВОВ КОМПАНИИ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заключение о законности отчуждения активов компании,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ГК РФ (статьи 1, 10, 53.1); Постановление Пленума ВС РФ от 15.11.2016 № 48.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Точное описание события, дат, участников и документов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законности отчуждения активов компании</dc:title>
  <dc:subject>21. Корпоративные, банкротные и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