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ВЫВОДЕ АКТИВОВ ПОДКОНТРОЛЬНЫМИ ЛИЦАМИ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ВЫВОДЕ АКТИВОВ ПОДКОНТРОЛЬНЫМИ ЛИЦАМИ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выводе активов подконтрольными лицами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