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НЕПРАВОМЕРНОМ ДОСТУПЕ К КОРПОРАТИВНОЙ ИНФОРМАЦИОННОЙ СИСТЕМЕ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НЕПРАВОМЕРНОМ ДОСТУПЕ К КОРПОРАТИВНОЙ ИНФОРМАЦИОННОЙ СИСТЕМЕ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неправомерном доступе к корпоративной информационной системе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