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НЕЗАКОННОМ ИСПОЛЬЗОВАНИИ ЭЛЕКТРОННОЙ ПОДПИСИ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НЕЗАКОННОМ ИСПОЛЬЗОВАНИИ ЭЛЕКТРОННОЙ ПОДПИСИ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незаконном использовании электронной подписи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