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347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19. Судебное разбирательство и пересмотр приговора</w:t>
            </w:r>
          </w:p>
        </w:tc>
      </w:tr>
    </w:tbl>
    <w:p>
      <w:pPr>
        <w:pStyle w:val="Title"/>
        <w:jc w:val="center"/>
      </w:pPr>
      <w:r>
        <w:t>ПИСЬМЕННЫЕ ПРЕНИЯ СТОРОНЫ ЗАЩИТЫ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Последовательное изложение фактов и доказательств для исключения неверной уголовно-правовой оценки хозяйственной деятельности.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229, 234-239, 244, 271, 389.1-389.36, 401.1-401.17)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документы и материалы, указанные в тексте; доверенность или иной документ о полномочиях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ПИСЬМЕННЫЕ ПРЕНИЯ СТОРОНЫ ЗАЩИТЫ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Точное описание события, дат, участников и документов.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Выделение подтвержденных фактов и спорных предположений.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Перечень доказательств и конкретное управленческое или процессуальное решение.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229, 234-239, 244, 271, 389.1-389.36, 401.1-401.17)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Удовлетворить настоящее ходатайство / заявление.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Приобщить документ и приложения к материалу проверки или уголовному делу.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Проверить изложенные обстоятельства и дать им мотивированную правовую оценку.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Направить заявителю копию принятого процессуального решения.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Письменные прения стороны защиты</dc:title>
  <dc:subject>19. Судебное разбирательство и пересмотр приговора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