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ТЕЗИСЫ СУДЕБНОГО ДОПРОСА ЭКСПЕРТА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ТЕЗИСЫ СУДЕБНОГО ДОПРОСА ЭКСПЕРТА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56, 86, 166-167, 187-192); статья 51 Конституции РФ;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судебного допроса эксперта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