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РЕГЛАМЕНТ ПРОВЕРКИ ПОЛНОМОЧИЙ ПОДПИСАНТОВ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регламент проверки полномочий подписантов.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проверки полномочий подписантов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