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ПРЕКРАЩЕНИИ ДЕЛА В АПЕЛЛЯЦИОННОЙ ИНСТАНЦИИ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ДЕЛА В АПЕЛЛЯЦИОННОЙ ИНСТАНЦИИ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в апелляционной инстанции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