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300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16. Налоговые уголовные риски</w:t>
            </w:r>
          </w:p>
        </w:tc>
      </w:tr>
    </w:tbl>
    <w:p>
      <w:pPr>
        <w:pStyle w:val="Title"/>
        <w:jc w:val="center"/>
      </w:pPr>
      <w:r>
        <w:t>ПИСЬМЕННАЯ ПОЗИЦИЯ О ПОЛНОМ ВОЗМЕЩЕНИИ УЩЕРБА БЮДЖЕТНОЙ СИСТЕМЕ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198-199.4, 76.1); УПК РФ (статьи 28.1, 144-145); НК РФ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 ПОЛНОМ ВОЗМЕЩЕНИИ УЩЕРБА БЮДЖЕТНОЙ СИСТЕМЕ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198-199.4, 76.1); УПК РФ (статьи 28.1, 144-145); НК РФ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 полном возмещении ущерба бюджетной системе</dc:title>
  <dc:subject>16. Налоговые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