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298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16. Налоговые уголовные риски</w:t>
            </w:r>
          </w:p>
        </w:tc>
      </w:tr>
    </w:tbl>
    <w:p>
      <w:pPr>
        <w:pStyle w:val="Title"/>
        <w:jc w:val="center"/>
      </w:pPr>
      <w:r>
        <w:t>ХОДАТАЙСТВО О ПРЕКРАЩЕНИИ УГОЛОВНОГО ПРЕСЛЕДОВАНИЯ ПОСЛЕ ВОЗМЕЩЕНИЯ УЩЕРБА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198-199.4, 76.1); УПК РФ (статьи 28.1, 144-145); НК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ПРЕКРАЩЕНИИ УГОЛОВНОГО ПРЕСЛЕДОВАНИЯ ПОСЛЕ ВОЗМЕЩЕНИЯ УЩЕРБА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Методика расчета прямого действительного ущерба.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Исключение двойного счета и предположительных потерь.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каждой суммы с конкретным действием.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198-199.4, 76.1); УПК РФ (статьи 28.1, 144-145); НК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прекращении уголовного преследования после возмещения ущерба</dc:title>
  <dc:subject>16. Налоговые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