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294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16. Налоговые уголовные риски</w:t>
            </w:r>
          </w:p>
        </w:tc>
      </w:tr>
    </w:tbl>
    <w:p>
      <w:pPr>
        <w:pStyle w:val="Title"/>
        <w:jc w:val="center"/>
      </w:pPr>
      <w:r>
        <w:t>ХОДАТАЙСТВО ОБ ИСТРЕБОВАНИИ РЕШЕНИЯ НАЛОГОВОГО ОРГАНА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УК РФ (статьи 198-199.4, 76.1); УПК РФ (статьи 28.1, 144-145); НК РФ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договоры и приложения; первичные документы; платежные и налоговые документы; деловая переписка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ОБ ИСТРЕБОВАНИИ РЕШЕНИЯ НАЛОГОВОГО ОРГАНА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Наличие решения налогового органа и расчет недоимки.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Умысел конкретного лица, а не только факт доначисления.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Возмещение недоимки, пеней и штрафов при выборе соответствующей стратегии.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УК РФ (статьи 198-199.4, 76.1); УПК РФ (статьи 28.1, 144-145); НК РФ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истребовании решения налогового органа</dc:title>
  <dc:subject>16. Налоговые уголовные риски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