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ПЕРЕЧЕНЬ ВОПРОСОВ КОМПЬЮТЕРНО-ТЕХНИЧЕСКОМУ ЭКСПЕРТУ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серийные номера, конфигурация и состояние устройств?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серийные номера, конфигурация и состояние устройств?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участие специалиста и сохранение целостности данных?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участие специалиста и сохранение целостности данных?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копирование необходимой информации и минимизация остановки бизнеса?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копирование необходимой информации и минимизация остановки бизнеса?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Какие объективные данные, содержащиеся в представленных материалах, относятся к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Имеются ли в представленных материалах противоречия, влияющие на вывод по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Какие объективные данные, содержащиеся в представленных материалах, относятся к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Имеются ли в представленных материалах противоречия, влияющие на вывод по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Какие объективные данные, содержащиеся в представленных материалах, относятся к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12. Имеются ли в представленных материалах противоречия, влияющие на вывод по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13.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14.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15. Каковы пределы погрешности расчета или исследования?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компьютерно-техническому эксперту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