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268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ХОДАТАЙСТВО О НАЗНАЧЕНИИ НАЛОГОВОЙ ЭКСПЕРТИЗЫ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НАЗНАЧЕНИИ НАЛОГОВОЙ ЭКСПЕРТИЗЫ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Компетенция эксперта и полнота исходных материалов.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Нейтральность и проверяемость поставленных вопросов.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Оценка методики, расчетов и пределов выводов.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решения налогового органа и расчет недоимки.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Умысел конкретного лица, а не только факт доначисления.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Возмещение недоимки, пеней и штрафов при выборе соответствующей стратегии.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57, 58, 195-207)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налоговой экспертизы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