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266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ХОДАТАЙСТВО О НАЗНАЧЕНИИ СУДЕБНОЙ БУХГАЛТЕРСКОЙ ЭКСПЕРТИЗЫ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 НАЗНАЧЕНИИ СУДЕБНОЙ БУХГАЛТЕРСКОЙ ЭКСПЕРТИЗЫ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назначении судебной бухгалтерской экспертизы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