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245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ОТЧЕТ О ФИНАНСОВЫХ ПОСЛЕДСТВИЯХ БЛОКИРОВАНИЯ ДЕЯТЕЛЬНОСТИ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отчет о финансовых последствиях блокирования деятельности,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УПК РФ (статьи 115, 115.1, 165); Постановление Пленума ВС РФ № 48.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финансовых последствиях блокирования деятельности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