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ХОДАТАЙСТВО ОБ ОТКАЗЕ В НАЛОЖЕНИИ АРЕС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ТКАЗЕ В НАЛОЖЕНИИ АРЕСТ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казе в наложении арест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