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АНТИФРОД-ПОЛИТИКА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АНТИФРОД-ПОЛИТИКА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Антифрод-политика компании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