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ПАМЯТКА РУКОВОДИТЕЛЮ ОБ УГОЛОВНОЙ ОТВЕТСТВЕННОСТИ В СФЕРЕ ПРЕДПРИНИМАТЕЛЬСТВА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руководителю об уголовной ответственности в сфере предпринимательства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