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ХОДАТАЙСТВО О ПРИОБЩЕНИИ ПИСЬМЕННЫХ ПОКАЗАНИЙ И ПРИЛОЖЕН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ОБЩЕНИИ ПИСЬМЕННЫХ ПОКАЗАНИЙ И ПРИЛОЖЕН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письменных показаний и приложений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