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019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01. Превентивная уголовно-правовая защита бизнеса</w:t>
            </w:r>
          </w:p>
        </w:tc>
      </w:tr>
    </w:tbl>
    <w:p>
      <w:pPr>
        <w:pStyle w:val="Title"/>
        <w:jc w:val="center"/>
      </w:pPr>
      <w:r>
        <w:t>ЗАКЛЮЧЕНИЕ О РАЗГРАНИЧЕНИИ ГРАЖДАНСКО-ПРАВОВОГО СПОРА И МОШЕННИЧЕСТВА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заключение о разграничении гражданско-правового спора и мошенничества,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ГК РФ (статьи 1, 10, 53.1); Постановление Пленума ВС РФ от 15.11.2016 № 48.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Реальность первоначального намерения исполнить обязательство: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Платежи, поставки, переписка и иные признаки фактического исполнения: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Разграничение договорного риска и умышленного хищения: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Реальность первоначального намерения исполнить обязательство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Платежи, поставки, переписка и иные признаки фактического исполнения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Разграничение договорного риска и умышленного хищения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разграничении гражданско-правового спора и мошенничества</dc:title>
  <dc:subject>01. Превентивная уголовно-правовая защита бизнеса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