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189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10. Допросы, объяснения и очные ставки</w:t>
            </w:r>
          </w:p>
        </w:tc>
      </w:tr>
    </w:tbl>
    <w:p>
      <w:pPr>
        <w:pStyle w:val="Title"/>
        <w:jc w:val="center"/>
      </w:pPr>
      <w:r>
        <w:t>ЗАЯВЛЕНИЕ О ПРИМЕНЕНИИ АУДИО- ИЛИ ВИДЕОЗАПИСИ ДОПРОСА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Фиксация юридически значимой позиции, сообщения о преступлении либо процессуального требования.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56, 86, 166-167, 187-192); статья 51 Конституции РФ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ЗАЯВЛЕНИЕ О ПРИМЕНЕНИИ АУДИО- ИЛИ ВИДЕОЗАПИСИ ДОПРОСА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Процессуальный статус и пределы обязанности отвечать.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Точность формулировок и отсутствие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Проверка протокола построчно до подписания.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56, 86, 166-167, 187-192); статья 51 Конституции РФ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применении аудио- или видеозаписи допроса</dc:title>
  <dc:subject>10. Допросы, объяснения и очные ставки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