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ЖАЛОБА НА НАРУШЕНИЕ СРОКА ПРИЗНАНИЯ НОСИТЕЛЯ ВЕЩЕСТВЕННЫМ ДОКАЗАТЕЛЬСТВОМ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НАРУШЕНИЕ СРОКА ПРИЗНАНИЯ НОСИТЕЛЯ ВЕЩЕСТВЕННЫМ ДОКАЗАТЕЛЬСТВОМ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нарушение срока признания носителя вещественным доказательством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