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ИСПРАВЛЕНИИ НЕДОСТОВЕРНЫХ СВЕДЕНИЙ О ДОЛЯХ В ЕГРЮЛ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