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ОЙ ДАРСТВЕННОЙ НА ДОЛЮ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ЕГРЮЛ отражены сведения о принадлежности доли, не соответствующие действительным корпоративным отношениям. Основанием регистрационной записи указан [договор, заявление, решение, свидетельство], действительность которого оспаривается либо который не выражает волю законного правообладате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заявитель утратил возможность участвовать в управлении обществом, получать информацию и прибыль. Требование направлено на восстановление положения, существовавшего до нарушения, и приведение публичного реестра в соответствие с действительными пра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возмездная передача доли оформлена при отсутствии намерения дарителя, с использованием поддельной подписи или для обхода ограничений. Доказательства передачи корпоративных прав и принятия дара противоречив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ход доли в ООО регулируется статьями 21–24 Федерального закона № 14-ФЗ, а способы защиты корпоративных прав – статьями 12, 65.2 и 67 ГК РФ. Для отдельных сделок обязательны нотариальная форма и регистрационные дей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утрате доли помимо недействительности сделки может применяться специальное требование о восстановлении корпоративного контроля. Суд определяет надлежащих ответчиков, судьбу последующих переходов и конкретные изменения, которые должны быть внесены в ЕГРЮ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