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ПРИЗНАНИИ ПРАВА СОБСТВЕННОСТИ НА ДОЛЮ В УСТАВНОМ КАПИТАЛЕ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ЕГРЮЛ отражены сведения о принадлежности доли, не соответствующие действительным корпоративным отношениям. Основанием регистрационной записи указан [договор, заявление, решение, свидетельство], действительность которого оспаривается либо который не выражает волю законного правообладателя.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заявитель утратил возможность участвовать в управлении обществом, получать информацию и прибыль. Требование направлено на восстановление положения, существовавшего до нарушения, и приведение публичного реестра в соответствие с действительными правами.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Переход доли в ООО регулируется статьями 21–24 Федерального закона № 14-ФЗ, а способы защиты корпоративных прав – статьями 12, 65.2 и 67 ГК РФ. Для отдельных сделок обязательны нотариальная форма и регистрационные действия.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утрате доли помимо недействительности сделки может применяться специальное требование о восстановлении корпоративного контроля. Суд определяет надлежащих ответчиков, судьбу последующих переходов и конкретные изменения, которые должны быть внесены в ЕГРЮЛ.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за истцом право на [долю / акции] в размере [___].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Восстановить корпоративный контроль истца и обязать совершить необходимые регистрационные и учётные действия.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