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line="240" w:lineRule="auto"/>
            </w:pPr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line="240" w:lineRule="auto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60" w:line="254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2"/>
        </w:rPr>
        <w:t>ХОДАТАЙСТВО О НАЗНАЧЕНИИ ОЦЕНОЧНОЙ ЭКСПЕРТИЗЫ ВЫВЕДЕННОГО ИМУЩЕСТВА</w:t>
      </w:r>
    </w:p>
    <w:p>
      <w:pPr>
        <w:spacing w:line="254" w:lineRule="auto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54" w:lineRule="auto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В период корпоративного конфликта имущество, денежные средства, права требования, клиентская база, персонал либо исключительные права общества были переданы [аффилированной организации / участнику / руководителю / третьему лицу]. Передача не имела разумной деловой цели и сопровождалась прекращением или существенным сокращением деятельности общества.</w:t>
      </w:r>
    </w:p>
    <w:p>
      <w:pPr>
        <w:spacing w:line="254" w:lineRule="auto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Связь участников схемы подтверждается совпадением руководителей, адресов, работников, контактных данных, контрагентов и последовательностью операций. Экономический результат сосредоточен у получателя активов, тогда как общество лишилось источника дохода.</w:t>
      </w:r>
    </w:p>
    <w:p>
      <w:pPr>
        <w:spacing w:line="254" w:lineRule="auto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60" w:line="254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2"/>
        </w:rPr>
        <w:t>ПРАВОВОЕ ОБОСНОВАНИЕ</w:t>
      </w:r>
    </w:p>
    <w:p>
      <w:pPr>
        <w:spacing w:line="254" w:lineRule="auto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Сделки и действия по выводу активов оцениваются по статьям 10, 53.1, 166–168, 174, 301–302 и 1102 ГК РФ с учётом конкретного способа защиты. Участник вправе действовать в интересах корпорации в случаях, предусмотренных статьёй 65.2 ГК РФ.</w:t>
      </w:r>
    </w:p>
    <w:p>
      <w:pPr>
        <w:spacing w:line="254" w:lineRule="auto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Суд исследует экономическую цель операций, равноценность встречного предоставления, аффилированность, движение денег, фактическое использование активов и возможность их возврата. Способ защиты должен соответствовать характеру нарушения и учитывать права добросовестных приобретателей.</w:t>
      </w:r>
    </w:p>
    <w:p>
      <w:pPr>
        <w:spacing w:line="254" w:lineRule="auto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54" w:lineRule="auto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54" w:lineRule="auto" w:after="60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На основании изложенного, руководствуясь указанными нормами права,</w:t>
      </w:r>
    </w:p>
    <w:p>
      <w:pPr>
        <w:spacing w:before="160" w:after="60" w:line="254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2"/>
        </w:rPr>
        <w:t>ПРОШУ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1. Назначить по делу судебную оценочную экспертизу.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2. Поставить перед экспертом вопросы, изложенные в приложении к ходатайству, в том числе о [конкретный предмет исследования].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3. Поручить проведение экспертизы [экспертное учреждение] либо определить учреждение по усмотрению суда; установить срок и порядок внесения оплаты.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4. Предоставить эксперту материалы дела и истребованные оригиналы документов, необходимые для исследования.</w:t>
      </w:r>
    </w:p>
    <w:p>
      <w:pPr>
        <w:spacing w:before="160" w:after="60" w:line="254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2"/>
        </w:rPr>
        <w:t>ПРИЛОЖЕНИЯ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1. Документ, подтверждающий статус заявителя и его корпоративное право.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2. Устав общества и актуальная выписка из ЕГРЮЛ / реестра акционеров.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3. Документы, подтверждающие изложенную хронологию событий.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4. Переписка и доказательства направления предыдущих обращений.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7. Расчёт заявленной денежной суммы – если требование подлежит оценке.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8. Доверенность или иной документ о полномочиях представителя.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9. Предлагаемые вопросы эксперту.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10. Сведения об экспертной организации и предварительная стоимость исследования.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11. Оригиналы и сравнительные материалы, необходимые для экспертизы.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12. Оспариваемый договор и документы его исполнения.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13. Бухгалтерская отчётность и расчёт стоимости активов.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14. Отчёт оценщика / заключение специалиста о рыночной стоимости.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2"/>
        </w:rPr>
        <w:t>15. Документы об аффилированности и движении денежных средств.</w:t>
      </w:r>
    </w:p>
    <w:p>
      <w:pPr>
        <w:spacing w:line="254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2"/>
        </w:rPr>
        <w:t>«___» __________ 20__ г.        __________________ /[Ф.И.О.]/</w:t>
      </w:r>
    </w:p>
    <w:sectPr w:rsidR="00FC693F" w:rsidRPr="0006063C" w:rsidSect="00034616">
      <w:footerReference w:type="default" r:id="rId9"/>
      <w:pgSz w:w="12240" w:h="15840"/>
      <w:pgMar w:top="879" w:right="1020" w:bottom="822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