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 В СВЯЗИ С ПЕРЕВОДОМ БИЗНЕСА НА НОВУЮ КОМПАНИЮ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