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ПЕРЕДАЧИ ТОВАРНЫХ ЗНАКОВ И ИНЫХ ИСКЛЮЧИТЕЛЬНЫХ ПРАВ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Исключительное право на обозначение, используемое в основном бизнесе общества, передано без независимой оценки и без сохранения лицензии, что лишило общество возможности продолжать деятельность под известным брендом.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