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КРУПНОЙ СДЕЛКИ НЕДЕЙСТВИТЕЛЬНОЙ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