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ДИРЕКТОРА НА ИСК О ВЗЫСКАНИИ КОРПОРАТИВНЫХ УБЫТКОВ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