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НАЛОГОВЫХ ШТРАФОВ И ДОНАЧИСЛЕНИЙ С ДИРЕКТОРА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Налоговые санкции возникли вследствие неподтверждённых расходов, непредставления отчётности, фиктивного документооборота либо игнорирования требований налогового органа, о которых руководитель был своевременно уведомлён.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