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ВЗЫСКАНИИ УБЫТКОВ, ПРИЧИНЁННЫХ СДЕЛКОЙ С АФФИЛИРОВАННЫМ ЛИЦОМ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с «___» _________ 20__ года по «___» _________ 20__ года ответчик, осуществляя полномочия руководителя или фактически определяя действия общества, совершил действия (допустил бездействие), не отвечающие обычным условиям делового оборота и интересам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общество понесло имущественные потери в размере [___] руб., включая [реальный ущерб, упущенную выгоду, налоговые санкции, стоимость утраченного имущества, расходы на восстановление документов]. Размер и причинная связь подтверждаются первичными документами, заключением специалиста и движением денежных средств.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статье 53.1 ГК РФ лицо, уполномоченное выступать от имени юридического лица, обязано действовать добросовестно и разумно и возмещает причинённые по его вине убытки. Для ООО специальное основание содержится в статье 44 Закона № 14-ФЗ, для АО – в статье 71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спора оцениваются конфликт интересов, сокрытие информации, отклонение от обычных условий оборота, отсутствие деловой цели, причинная связь и размер потерь. Обычный предпринимательский риск не образует ответственности сам по себе; ответчик вправе раскрыть разумную деловую мотивацию.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в пользу [общества] убытки в размере [___] руб.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проценты / иные предусмотренные законом суммы по расчёту, если имеются основания.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