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ВЗЫСКАНИИ УБЫТКОВ С ФАКТИЧЕСКОГО РУКОВОДИТЕЛЯ БИЗНЕСА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с «___» _________ 20__ года по «___» _________ 20__ года ответчик, осуществляя полномочия руководителя или фактически определяя действия общества, совершил действия (допустил бездействие), не отвечающие обычным условиям делового оборота и интересам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общество понесло имущественные потери в размере [___] руб., включая [реальный ущерб, упущенную выгоду, налоговые санкции, стоимость утраченного имущества, расходы на восстановление документов]. Размер и причинная связь подтверждаются первичными документами, заключением специалиста и движением денежных средств.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53.1 ГК РФ лицо, уполномоченное выступать от имени юридического лица, обязано действовать добросовестно и разумно и возмещает причинённые по его вине убытки. Для ООО специальное основание содержится в статье 44 Закона № 14-ФЗ, для АО – в статье 71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оцениваются конфликт интересов, сокрытие информации, отклонение от обычных условий оборота, отсутствие деловой цели, причинная связь и размер потерь. Обычный предпринимательский риск не образует ответственности сам по себе; ответчик вправе раскрыть разумную деловую мотивацию.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в пользу [общества] убытки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/ иные предусмотренные законом суммы по расчёту, если имеются основания.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