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ОБЩЕСТВА О ВЗЫСКАНИИ УБЫТКОВ С БЫВШЕГО ДИРЕКТОРА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в пользу [общества] убытки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/ иные предусмотренные законом суммы по расчёту, если имеются основания.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