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  <w:ind w:left="4819"/>
        <w:jc w:val="right"/>
      </w:pPr>
      <w:r>
        <w:rPr>
          <w:rFonts w:ascii="Times New Roman" w:hAnsi="Times New Roman" w:eastAsia="Times New Roman"/>
          <w:b w:val="0"/>
          <w:i w:val="0"/>
          <w:sz w:val="20"/>
        </w:rPr>
        <w:t>В Межрайонную ИФНС России № 46 по г. Москве</w:t>
        <w:br/>
        <w:t>125373, г. Москва, Походный проезд, домовладение 3, стр. 2</w:t>
      </w:r>
      <w:r>
        <w:rPr>
          <w:rFonts w:ascii="Times New Roman" w:hAnsi="Times New Roman" w:eastAsia="Times New Roman"/>
          <w:b w:val="0"/>
          <w:i w:val="0"/>
          <w:sz w:val="20"/>
        </w:rPr>
        <w:br/>
        <w:br/>
        <w:t>Заявитель: [Ф.И.О. / наименование]</w:t>
        <w:br/>
        <w:t>адрес: [адрес]</w:t>
        <w:br/>
        <w:t>ИНН/ОГРН: [реквизиты]</w:t>
        <w:br/>
        <w:t>тел.: [номер], e-mail: [адрес]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ЗАЯВЛЕНИЕ О НЕДОСТОВЕРНОСТИ СВЕДЕНИЙ О ДИРЕКТОРЕ В ЕГРЮЛ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[Наименование общества] является хозяйственным обществом, зарегистрированным в установленном порядке. Заявитель обладает статусом [участника / 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Сведения о лице, осуществляющем функции единоличного исполнительного органа, оспариваются. Основанием конфликта является решение от «___» _________ 20__ года, принятое [с нарушением порядка созыва / без кворума / на основании поддельного протокола / с превышением компетенции].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Сохранение неопределённости создаёт риск заключения сделок, распоряжения денежными средствами, изменения электронных доступов и утраты корпоративной документации. Требуется определить законного руководителя и обеспечить передачу дел.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Юридически значимые обстоятельства подтверждаются совокупностью документов: уставом, выписками из государственных и корпоративных реестров, протоколами, перепиской, банковскими и бухгалтерскими документами. При заполнении образца следует указать точную хронологию событий и связь каждого доказательства с заявленным требованием.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Полномочия единоличного исполнительного органа возникают и прекращаются на основании решения компетентного органа общества и подлежат отражению в ЕГРЮЛ. В ООО применяются статьи 32, 33, 40 и 43 Закона № 14-ФЗ, в АО – соответствующие положения Закона № 208-ФЗ.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Лицо, полномочия которого прекращены, обязано передать обществу документацию, имущество и доступы. Публичная достоверность ЕГРЮЛ не легализует корпоративное решение, принятое с существенным нарушением закона.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Учесть настоящее возражение / заявление при рассмотрении документов, представленных для государственной регистрации.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Внести запись о недостоверности сведений либо отказать в регистрации при наличии предусмотренных законом оснований.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Предоставить заявителю мотивированное решение и сведения о представленных на регистрацию документах в допустимом законом объёме.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Документ, подтверждающий статус заявителя и его корпоративное право.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общества и актуальная выписка из ЕГРЮЛ / реестра акционеров.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Документы, подтверждающие изложенную хронологию событий.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Переписка и доказательства направления предыдущих обращений.</w:t>
      </w:r>
    </w:p>
    <w:p>
      <w:pPr>
        <w:spacing w:line="276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г.        __________________ /[Ф.И.О.]/</w:t>
      </w:r>
    </w:p>
    <w:p>
      <w:pPr>
        <w:spacing w:line="276" w:lineRule="auto" w:after="100"/>
        <w:jc w:val="right"/>
      </w:pPr>
      <w:r>
        <w:rPr>
          <w:rFonts w:ascii="Times New Roman" w:hAnsi="Times New Roman" w:eastAsia="Times New Roman"/>
          <w:b w:val="0"/>
          <w:i w:val="0"/>
          <w:sz w:val="18"/>
        </w:rPr>
        <w:t>подпись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