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Банк России</w:t>
        <w:br/>
        <w:t>через Интернет-приёмную / 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ЖАЛОБА В БАНК РОССИИ НА НАРУШЕНИЕ ПРАВА АКЦИОНЕРА НА ИНФОРМАЦИЮ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Провести проверку изложенных обстоятельств и обеспечить сохранность учётных данных и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 совершать спорные операции без дополнительной проверки полномочий и юридических оснований / устранить допущенное нарушение.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Предоставить заявителю письменный мотивированный ответ и копии документов, выдача которых допускается законом.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