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НАЗНАЧЕНИИ ПОЧЕРКОВЕДЧЕСКОЙ ЭКСПЕРТИЗЫ ПОДПИСЕЙ В ПРОТОКОЛЕ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установления исполнителя подписи требуются специальные знания. Сравнительные образцы содержатся в [банковских карточках, нотариальных документах, паспорте, ранее подписанных протоколах].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по делу судебную почерковедческую экспертизу.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Поставить перед экспертом вопросы, изложенные в приложении к ходатайству, в том числе о [конкретный предмет исследования].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Поручить проведение экспертизы [экспертное учреждение] либо определить учреждение по усмотрению суда; установить срок и порядок внесения оплаты.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Предоставить эксперту материалы дела и истребованные оригиналы документов, необходимые для исследования.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Предлагаемые вопросы эксперту.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Сведения об экспертной организации и предварительная стоимость исследования.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Оригиналы и сравнительные материалы, необходимые для экспертизы.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