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ЗАЯВЛЕНИЕ О ПРИМЕНЕНИИ СРОКА ИСКОВОЙ ДАВНОСТИ ПО КОРПОРАТИВНОМУ СПОРУ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года оформлен протокол общего собрания участников № [___], которым принято решение о [содержание решения]. Заявитель с решением не согласен, поскольку при его принятии нарушены требования закона, устава и права заявителя на участие в управлении обществом.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Нарушение является существенным: оно повлияло либо могло повлиять на результаты голосования и повлекло неблагоприятные последствия в виде [смены директора, перераспределения долей, одобрения сделки, ограничения доступа к информации, изменения устава].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Решения собраний регулируются статьями 181.1–181.5 ГК РФ и статьёй 43 Федерального закона № 14-ФЗ. Оспоримое решение может быть признано недействительным при существенном нарушении процедуры и нарушении прав участника; ничтожное решение недействительно независимо от признания судом в предусмотренных законом случаях.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оценке нарушения учитываются влияние голоса заявителя, добросовестность сторон, возможность устранения последствий и наличие самостоятельных оснований ничтожности. Срок обращения и момент, когда участник узнал или должен был узнать о решении, подлежат отдельному обоснованию.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Удовлетворить настоящее заявление и письменно сообщить заявителю о принятом решении.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