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ФНС РЕГИСТРИРОВАТЬ ИЗМЕНЕНИЯ В ЕГРЮЛ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