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ОБ ИСПОЛНЕНИИ КОРПОРАТИВНОГО ДОГОВОРА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намерены заранее урегулировать порядок осуществления корпоративных прав / прекратить возникший спор. Ключевыми вопросами являются голосование, назначение руководителя, финансирование общества, ограничения на отчуждение долей или акций, выход из тупиковой ситуации и ответственность за нарушение договорённостей.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должен толковаться во взаимосвязи с уставом и императивными нормами корпоративного законодательства. Его условия не изменяют структуру органов общества для третьих лиц, но устанавливают обязательства сторон друг перед другом и предусмотренные законом способы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Сторона нарушила согласованный порядок голосования / отчуждения доли / финансирования / назначения органов управления. Нарушение подтверждается протоколом, перепиской и совершённой сделкой.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Корпоративный договор допускается статьёй 67.2 ГК РФ, статьёй 8 Закона № 14-ФЗ и статьёй 32.1 Закона № 208-ФЗ. Его стороны могут согласовать порядок голосования, приобретения и отчуждения долей или акций и иные способы согласованного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Обязательства договора действуют между его сторонами и не должны противоречить императивным нормам или лишать органы общества установленной законом компетенции. Нарушение может повлечь понуждение к исполнению, неустойку, убытки и иные предусмотренные договором и законом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