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НЕДЕЙСТВИТЕЛЬНЫМ РЕШЕНИЯ ФНС О ГОСУДАРСТВЕННОЙ РЕГИСТРАЦИИ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Заявителю стало известно о подготовке либо совершении регистрационных действий на основании документов, которые он не подписывал и не одобрял. Изменения касаются [директора, состава участников, размера долей, адреса, устава, реорганизации].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признаки подделки подписи, изготовления фиктивного протокола, использования утраченного ключа электронной подписи либо представления регистрирующему органу заведомо недостоверных сведений. Необходимы срочная фиксация обстоятельств и предотвращение дальнейшего распоряжения активами.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Безвозмездная передача доли оформлена при отсутствии намерения дарителя, с использованием поддельной подписи или для обхода ограничений. Доказательства передачи корпоративных прав и принятия дара противоречивы.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129-ФЗ предусматривает порядок государственной регистрации, внесения сведений о недостоверности, обжалования решений регистрирующего органа и ответственность за представление недостоверных документов.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признаков преступления сообщение подлежит регистрации и проверке по статьям 141–145 УПК РФ. Гражданско-правовые и регистрационные способы защиты могут применяться одновременно с уголовно-процессуальной проверкой, поскольку имеют разные предмет и последствия.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