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ЖАЛОБА В ВЫШЕСТОЯЩИЙ НАЛОГОВЫЙ ОРГАН НА НЕЗАКОННУЮ РЕГИСТРАЦИЮ ИЗМЕНЕНИЙ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Заявителю стало известно о подготовке либо совершении регистрационных действий на основании документов, которые он не подписывал и не одобрял. Изменения касаются [директора, состава участников, размера долей, адреса, устава, реорганизации].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признаки подделки подписи, изготовления фиктивного протокола, использования утраченного ключа электронной подписи либо представления регистрирующему органу заведомо недостоверных сведений. Необходимы срочная фиксация обстоятельств и предотвращение дальнейшего распоряжения активами.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№ 129-ФЗ предусматривает порядок государственной регистрации, внесения сведений о недостоверности, обжалования решений регистрирующего органа и ответственность за представление недостоверных документов.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наличии признаков преступления сообщение подлежит регистрации и проверке по статьям 141–145 УПК РФ. Гражданско-правовые и регистрационные способы защиты могут применяться одновременно с уголовно-процессуальной проверкой, поскольку имеют разные предмет и последствия.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Удовлетворить настоящее заявление и письменно сообщить заявителю о принятом решении.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