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АКЦИОНЕРА О ВЫКУПЕ ПРИНАДЛЕЖАЩИХ ЕМУ АКЦИЙ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