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СОГЛАШЕНИЕ УЧАСТНИКОВ ОБ УРЕГУЛИРОВАНИИ КОРПОРАТИВНОГО ТУПИКА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Длительный конфликт участников препятствует деятельности общества: собрания срываются, решения по обязательным вопросам не принимаются, документация удерживается, исполнение договоров и взаимодействие с банками затруднены. Поведение оппонента выходит за пределы добросовестного осуществления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Предлагаемый способ защиты направлен не на получение необоснованного преимущества, а на восстановление управляемости общества и прекращение действий, делающих его деятельность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Исключение участника является исключительной мерой защиты и допускается статьёй 10 Федерального закона № 14-ФЗ при грубом нарушении обязанностей либо действиях, делающих деятельность общества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10, 65.2 и 67 ГК РФ требуют добросовестного осуществления корпоративных прав. Суд оценивает конкретное поведение каждой стороны, его последствия для общества и возможность устранения конфликта менее жёсткими средствами.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настоящее заявление и письменно сообщить заявителю о принятом решении.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