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ПРОЦЕНТОВ ЗА ПРОСРОЧКУ ВЫПЛАТЫ СТОИМОСТИ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 20__ года участник реализовал право на выход из общества / его доля перешла к обществу. На дату перехода доля составляла [___] % уставного капитала. Общество обязано определить и выплатить действительную стоимость доли на основании данных бухгалтерской отчётности и реальной стоимости активов.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общества не представлен / не учитывает рыночную стоимость недвижимости, оборудования, дебиторской задолженности и иных активов / содержит необоснованные обязательства. Между сторонами возник спор о размере и форме исполнения.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Выход участника и последствия перехода доли к обществу регулируются статьями 23 и 26 Федерального закона № 14-ФЗ. Право на выход зависит от содержания устава и реализуется в нотариальной форме в предусмотренном законом порядке.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Действительная стоимость определяется по данным бухгалтерской отчётности за установленный законом период, однако при споре суд проверяет достоверность учёта и реальную стоимость активов и обязательств. За просрочку денежного исполнения могут начисляться проценты по статье 395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