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ПРЕДОСТАВЛЕНИИ ДОКУМЕНТОВ ДЛЯ ОПРЕДЕЛЕНИЯ СТОИМОСТИ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 20__ года участник реализовал право на выход из общества / его доля перешла к обществу. На дату перехода доля составляла [___] % уставного капитала. Общество обязано определить и выплатить действительную стоимость доли на основании данных бухгалтерской отчётности и реальной стоимости активов.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общества не представлен / не учитывает рыночную стоимость недвижимости, оборудования, дебиторской задолженности и иных активов / содержит необоснованные обязательства. Между сторонами возник спор о размере и форме исполнения.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Выход участника и последствия перехода доли к обществу регулируются статьями 23 и 26 Федерального закона № 14-ФЗ. Право на выход зависит от содержания устава и реализуется в нотариальной форме в предусмотренном законом порядке.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Действительная стоимость определяется по данным бухгалтерской отчётности за установленный законом период, однако при споре суд проверяет достоверность учёта и реальную стоимость активов и обязательств. За просрочку денежного исполнения могут начисляться проценты по статье 395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отказа, неполного предоставления или уклонения.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