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РЕШЕНИЯ ОБ УМЕНЬШЕНИИ УСТАВНОГО КАПИТАЛА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общего собрания от «___» _________ 20__ года изменён размер уставного капитала и соотношение долей участников / утверждена новая редакция устава. Вследствие этих действий доля заявителя уменьшилась с [___] % до [___] %.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был надлежащим образом уведомлён, дополнительные вклады оплачены не полностью / порядок принятия нового участника нарушен / документы содержат недостоверные сведения. Изменение капитала использовано не для финансирования общества, а для перераспределения корпоративного контроля.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Порядок увеличения и уменьшения уставного капитала, внесения дополнительных вкладов и изменения устава установлен статьями 17–20 Федерального закона № 14-ФЗ. Решение принимается компетентным органом с предусмотренным большинством голосов и исполняется в установленные сроки.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Изменение капитала не должно использоваться исключительно для недобросовестного размывания доли и захвата контроля. Оцениваются реальность оплаты вкладов, деловая цель финансирования, уведомление участников и соблюдение регистрационной процедуры.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