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 ВОССТАНОВЛЕНИИ ПРАВА НА ДОЛЮ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