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ВЫЗОВЕ СВИДЕТЕЛЕЙ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Вызвать и опросить указанное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защите возможность задать вопросы.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Отразить показания и замечания в протоколе.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вызове свидетелей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