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Заявитель: ООО «Городской Маркет»</w:t>
        <w:br/>
        <w:t>ИНН 7700002002, ОГРН 1267700002002</w:t>
        <w:br/>
        <w:t>115088, г. Москва, ул. Южнопортовая, д. 7</w:t>
        <w:br/>
        <w:br/>
        <w:t>Заинтересованное лицо: Управление Роспотребнадзора по г. Москве</w:t>
        <w:br/>
        <w:t>[адрес заинтересованного лица]</w:t>
        <w:br/>
        <w:br/>
        <w:t>Дело № А40-123458/2026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В АРБИТРАЖНЫЙ СУД О ПРИЗНАНИИ ПРЕДПИСАНИЯ НЕЗАКОННЫМ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Оспариваемый акт и обстоятельства дела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оспаривает решение/постановление/предписание № ПР-77/2026-417, вынесенное по результатам мероприятия № КНМ-77/2026-417. Оспариваемый акт затрагивает права заявителя в предпринимательской деятельности, возлагает дополнительные обязанности и создает риск взыскания 300 000 руб. либо ограничения деятельности.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суд проверить не только буквальное содержание оспариваемого акта, но и законность всей процедуры его принятия: наличие полномочий, соблюдение предмета проверки, допустимость доказательств, извещение, возможность представить объяснения и мотивированность итогового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Подведомственность, срок и досудебный порядок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 связан с предпринимательской деятельностью юридического лица и подлежит рассмотрению арбитражным судом. Заявитель получил оспариваемый акт [дата]. Настоящее заявление подается в пределах специального срока, исчисляемого с момента получения либо с момента, когда заявителю стало известно о нарушении права.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соблюден в объеме, предусмотренном законом: [указать жалобу, дату и результат]. Если специальный обязательный порядок не предусмотрен, следует прямо сослаться на это. Копии заявления и приложений направлены заинтересованному лицу.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Основания незаконности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Административный орган вышел за пределы предмета и компетенции.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мероприятии, протокол или постановление содержит неопределенное описание события.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Существенные процессуальные нарушения лишили заявителя возможности полноценно защищаться.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Выводы не подтверждены относимыми, допустимыми и достоверными доказательствами.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Вина юридического лица не установлена, принятые им меры не исследованы.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Оспариваемая мера несоразмерна фактическим обстоятельствам и последствиям.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и ходатайства заявителя оставлены без мотивированной 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 и бремени доказывания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делах об оспаривании ненормативных актов и решений соответствующий орган обязан подтвердить законность оспариваемого решения, наличие полномочий и фактических оснований. Заявитель при этом доказывает нарушение своих прав и обстоятельства, на которые ссылается.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Нарушение прав заявителя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создает для общества конкретные неблагоприятные последствия: необходимость нести дополнительные расходы, изменить хозяйственные процессы, риск нового производства за неисполнение предписания, ограничение использования имущества либо угрозу приостановления деятельности. Следовательно, спор не является абстрактным и направлен на восстановление нарушенного положения.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Правовое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Обеспечительные меры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риска немедленного исполнения спорного предписания или приостановления деятельности заявитель вправе одновременно просить суд приостановить действие оспариваемого акта. Необходимо отдельно доказать затруднительность восстановления положения, связь меры с предметом спора и отсутствие нарушения публичных интересов.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заявлению об обеспечении целесообразно приложить финансовые расчеты, договоры с контрагентами, сведения о работниках и доказательства того, что временное сохранение существующего положения не создает угрозы охраняемым законом ценностям.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Требования заявителя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 СУД: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Признать оспариваемое решение, предписание либо постановление незаконным.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оспариваемый акт полностью либо в соответствующей части.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Взыскать с административного органа понесенные судебные расходы.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оспариваемого 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его получения.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Полные материалы контрольного и административного производства.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каждый довод заявителя.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соблюдения досудебного порядка.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заявления заинтересованному лицу.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об уплате государственной пошлины либо документ о льготе.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и документы о высшем юридическом образовании представителя — если применимо.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об обеспечительных мерах и доказательства срочности — при необходимости.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Адаптация образца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Уточнить вид производства: глава 24 или глава 25 АПК РФ.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надлежащего ответчика и территориальную подсудность.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Сформулировать точный предмет: признание незаконным, отмена постановления или прекращение производства.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Приложить полный административный материал, а не только оспариваемый 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государственную пошлину и специальный срок обращения на дату подачи.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арбитражный суд о признании предписания незаконным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